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33" w:rsidRPr="004C7433" w:rsidRDefault="004C7433" w:rsidP="004C743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</w:pPr>
      <w:r w:rsidRPr="004C7433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begin"/>
      </w:r>
      <w:r w:rsidRPr="004C7433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instrText xml:space="preserve"> HYPERLINK "https://partizansk-vesti.ru/" \o "МАУ \"Редакция газеты \"Вести\" \» " </w:instrText>
      </w:r>
      <w:r w:rsidRPr="004C7433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separate"/>
      </w:r>
      <w:r w:rsidRPr="004C7433">
        <w:rPr>
          <w:rFonts w:ascii="Tahoma" w:eastAsia="Times New Roman" w:hAnsi="Tahoma" w:cs="Tahoma"/>
          <w:b/>
          <w:bCs/>
          <w:caps/>
          <w:color w:val="000000"/>
          <w:sz w:val="16"/>
          <w:u w:val="single"/>
          <w:lang w:eastAsia="ru-RU"/>
        </w:rPr>
        <w:t>МАУ "РЕДАКЦИЯ ГАЗЕТЫ "ВЕСТИ"</w:t>
      </w:r>
      <w:r w:rsidRPr="004C7433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end"/>
      </w:r>
    </w:p>
    <w:p w:rsidR="004C7433" w:rsidRPr="004C7433" w:rsidRDefault="004C7433" w:rsidP="004C7433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</w:pPr>
      <w:hyperlink r:id="rId4" w:tooltip="Постоянная ссылка на Основные задачи выполнены" w:history="1">
        <w:r w:rsidRPr="004C7433">
          <w:rPr>
            <w:rFonts w:ascii="Tahoma" w:eastAsia="Times New Roman" w:hAnsi="Tahoma" w:cs="Tahoma"/>
            <w:b/>
            <w:bCs/>
            <w:color w:val="176AD0"/>
            <w:sz w:val="29"/>
            <w:u w:val="single"/>
            <w:lang w:eastAsia="ru-RU"/>
          </w:rPr>
          <w:t>Основные задачи выполнены</w:t>
        </w:r>
      </w:hyperlink>
    </w:p>
    <w:p w:rsidR="004C7433" w:rsidRPr="004C7433" w:rsidRDefault="004C7433" w:rsidP="004C743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18"/>
          <w:szCs w:val="18"/>
          <w:lang w:eastAsia="ru-RU"/>
        </w:rPr>
      </w:pPr>
      <w:r w:rsidRPr="004C7433">
        <w:rPr>
          <w:rFonts w:ascii="Tahoma" w:eastAsia="Times New Roman" w:hAnsi="Tahoma" w:cs="Tahoma"/>
          <w:b/>
          <w:bCs/>
          <w:color w:val="176AD0"/>
          <w:sz w:val="18"/>
          <w:szCs w:val="18"/>
          <w:lang w:eastAsia="ru-RU"/>
        </w:rPr>
        <w:t>29.05.2024</w:t>
      </w:r>
    </w:p>
    <w:p w:rsidR="004C7433" w:rsidRPr="004C7433" w:rsidRDefault="004C7433" w:rsidP="004C7433">
      <w:pPr>
        <w:shd w:val="clear" w:color="auto" w:fill="FFFFFF"/>
        <w:spacing w:after="63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718310" cy="1145540"/>
            <wp:effectExtent l="19050" t="0" r="0" b="0"/>
            <wp:docPr id="1" name="Рисунок 1" descr="Работу главы и администрации в прошлом году Дума признала удовлетворительным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боту главы и администрации в прошлом году Дума признала удовлетворительным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14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 xml:space="preserve"> </w:t>
      </w:r>
      <w:r w:rsidRPr="004C7433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Глава округа Олег Бондарев отчитался перед депутатами</w:t>
      </w:r>
    </w:p>
    <w:p w:rsidR="004C7433" w:rsidRPr="004C7433" w:rsidRDefault="004C7433" w:rsidP="004C7433">
      <w:pPr>
        <w:shd w:val="clear" w:color="auto" w:fill="FFFFFF"/>
        <w:spacing w:after="63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отчетом о деятельности главы и администрации Партизанского городского округа в 2023 году выступил перед депутатским корпусом на заседании Думы 23 мая руководитель территории Олег Бондарев.</w:t>
      </w:r>
    </w:p>
    <w:p w:rsidR="004C7433" w:rsidRPr="004C7433" w:rsidRDefault="004C7433" w:rsidP="004C7433">
      <w:pPr>
        <w:shd w:val="clear" w:color="auto" w:fill="FFFFFF"/>
        <w:spacing w:after="63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минувший четверг народные избранники заслушали и обсудили традиционный ежегодный отчет главы городского округа.</w:t>
      </w: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— Этот год был в целом успешным: основные задачи, стоявшие перед администрацией округа, выполнены, — отметил Олег Бондарев. – Были привлечены средства из вышестоящих бюджетов на решение вопросов местного значения в целях сокращения нагрузки на бюджет городского округа, в том числе, путем участия в краевых и федеральных программах, а также выполнения условий </w:t>
      </w:r>
      <w:proofErr w:type="spellStart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софинансирования</w:t>
      </w:r>
      <w:proofErr w:type="spellEnd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По словам Олега Анатольевича, в 2023 году продолжалось оказание поддержки семьям бойцов СВО, включая сбор гуманитарной помощи, в городе работает муниципальный штаб всероссийской акции взаимопомощи «Мы вместе», поступившие заявки оперативно отрабатываются с привлечением городских служб и волонтеров. Глава округа поблагодарил всех, кто в своих трудовых коллективах и общественных организациях занимается сбором посылок для воинов и оказывает различную помощь им и их близким.</w:t>
      </w: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В нашем округе принято решение об обеспечение бесплатным горячим питанием в школах детей мобилизованных участников СВО, освобождении от родительской платы за посещение детсадов и уплаты земельного налога этой категории граждан.</w:t>
      </w: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Во время благотворительных концертов было собрано 192 тысячи рублей, на которые, по согласованию со штабом Тихоокеанского флота, приобретены медикаменты, средства гигиены, теплые вещи, сладкие подарки и переданы в 155-ю гвардейскую бригаду морской пехоты.</w:t>
      </w: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Что касается инвестиционных адресных проектов, то к концу августа должны завершиться все работы на строящемся физкультурно-оздоровительном комплексе </w:t>
      </w:r>
      <w:proofErr w:type="gramStart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</w:t>
      </w:r>
      <w:proofErr w:type="gramEnd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Лозовом. Планируется с 2025 года модернизация стадиона «Энергетик», проектно-сметная документация сформирована и направлена в бюджетную комиссию правительства Приморского края, примерная стоимость работ – около 450 миллионов рублей. В планах реконструкция гостиницы «Олимпийская» за счет средств регионального и федерального бюджетов. Приобретена в краевую собственность турбаза «Горные ключи», где будет создан </w:t>
      </w: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 xml:space="preserve">реабилитационный центр для участников СВО и людей с ограниченными возможностями здоровья. Продолжится модернизация и расширение Партизанской ГРЭС, ожидается, что на стройплощадке будет занято, по предварительной оценке, до двух тысяч человек. Это положительно скажется на доходах местного бюджета за счет налоговых отчислений с заработной платы. В 2024 году начнется проектирование и строительство жилого дома для работников электростанции, всего в планах возведение двух 128-квартирных домов </w:t>
      </w:r>
      <w:proofErr w:type="gramStart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</w:t>
      </w:r>
      <w:proofErr w:type="gramEnd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Лозовом. Их может быть и больше, но пока этот вопрос находится на рассмотрении полномочного представителя президента в Дальневосточном федеральном округе Юрия Трутнева.</w:t>
      </w: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По программе </w:t>
      </w:r>
      <w:proofErr w:type="gramStart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инициативного</w:t>
      </w:r>
      <w:proofErr w:type="gramEnd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бюджетирования</w:t>
      </w:r>
      <w:proofErr w:type="spellEnd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«Твой проект» реализовано три инициативы за счет краевых средств. Претворили в жизнь свои проекты по благоустройству по итогам регионального конкурса участники </w:t>
      </w:r>
      <w:proofErr w:type="spellStart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ТОСов</w:t>
      </w:r>
      <w:proofErr w:type="spellEnd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 помощью грантов в общей сумме около пяти миллионов рублей. Так, в Лазурном установлена тренажерная площадка, в центре </w:t>
      </w:r>
      <w:proofErr w:type="gramStart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Лозового</w:t>
      </w:r>
      <w:proofErr w:type="gramEnd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– памятник советскому солдату. В </w:t>
      </w:r>
      <w:proofErr w:type="spellStart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Несвоевке</w:t>
      </w:r>
      <w:proofErr w:type="spellEnd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благоустроен сквер и установлена автобусная остановка. ТОС «Южный» вместо свалки организовал сквер с </w:t>
      </w:r>
      <w:proofErr w:type="spellStart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топиариями</w:t>
      </w:r>
      <w:proofErr w:type="spellEnd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 виде медведей. В селе Мельники построена беседка в сквере Памяти и высажены декоративные растения. В этом году </w:t>
      </w:r>
      <w:proofErr w:type="spellStart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ТОСовцы</w:t>
      </w:r>
      <w:proofErr w:type="spellEnd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подали на краевой конкурс грантов 27 заявок.</w:t>
      </w: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Для поддержки социально ориентированных некоммерческих организаций в прошлом году принята соответствующая муниципальная программа.</w:t>
      </w: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В 2023 году выявлялись правообладатели ранее учтенных объектов недвижимости: земельных участков, зданий, сооружений, объектов незавершенного строительства, помещений — квартир, комнат, гаражей. Жители активно оформляют свое право собственности на земельные участки и объекты капитального строительства, что ведет к увеличению налогового потенциала городского округа и поступлению земельного и имущественного налогов.</w:t>
      </w: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В образовательные учреждения прибыли девять молодых специалистов, за каждым из них закреплен педагог-наставник. В пришкольных лагерях отдохнули более полутора тысяч детей, в том числе сироты, инвалиды и с особенностями здоровья, из малоимущих семей и в трудной жизненной ситуации.</w:t>
      </w: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Обновлена материально-техническая база для учебно-исследовательской, научно-практической, творческой деятельности, занятий физической культурой и спортом в школе №50. Обустроены семь кабинетов для центров «Точка Роста» в школах №3, 6 и «Антаресе».</w:t>
      </w: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Прошли тесты ГТО почти триста школьников. В течение года в 15 городских фестивалях «Вперед ВФСК ГТО» приняли участие более двух тысяч человек. Зимой были подготовлены и залиты восемь ледовых площадок.</w:t>
      </w: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Сборная округа приняла участие в первых международных спортивных играх «Дети Приморья» во Владивостоке и завоевала пять бронзовых медалей.</w:t>
      </w: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Капитальный ремонт выполнен в Доме культуры «Лозовый» и изобразительном отделения Детской школы искусств, а благ</w:t>
      </w:r>
      <w:proofErr w:type="gramStart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о-</w:t>
      </w:r>
      <w:proofErr w:type="gramEnd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устроительные работы — на воинских захоронениях, памятниках героям-партизанам в Хмельницком, Мельниках, Серебряном, бывшей деревне Гордеевке. Установлены памятники воинам-интернационалистам, корейским партизанам, Памятный знак участникам Великой Отечественной войны в сквере Памяти микрорайона Лозовый и семь мемориальных досок, три из них — участникам специальной военной операции.</w:t>
      </w: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На базе модельной библиотеки открылся первый в Приморье «</w:t>
      </w:r>
      <w:proofErr w:type="spellStart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Добро</w:t>
      </w:r>
      <w:proofErr w:type="gramStart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.Ц</w:t>
      </w:r>
      <w:proofErr w:type="gramEnd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ентр</w:t>
      </w:r>
      <w:proofErr w:type="spellEnd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», направление деятельности — культурное </w:t>
      </w:r>
      <w:proofErr w:type="spellStart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волонтерство</w:t>
      </w:r>
      <w:proofErr w:type="spellEnd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В городском Дворце культуры в июне прошла премьера спектакля Народного театра </w:t>
      </w:r>
      <w:proofErr w:type="spellStart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Партизанска</w:t>
      </w:r>
      <w:proofErr w:type="spellEnd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«Любовь и голуби», а труппа приняла участие в краевом конкурсе самодеятельных театральных коллективов «Свет рампы» и стала лауреатом первой степени в номинации «Драматический театр».</w:t>
      </w: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Руководители предприятий и индивидуальные предприниматели активно поддержали благотворительную акцию «Елка желаний» и исполнили мечты 34 воспитанников СРЦ для несовершеннолетних.</w:t>
      </w: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Коллектив ДК «Лозовый» выиграл грант в конкурсе социальных проектов «Море возможностей» на проведение </w:t>
      </w:r>
      <w:proofErr w:type="spellStart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этнопраздника</w:t>
      </w:r>
      <w:proofErr w:type="spellEnd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«В ночь на Ивана Купала», который посетили более 2500 человек.</w:t>
      </w: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На ремонт дорог затрачено около ста миллионов рублей, проведено работ на 25% больше, чем планировалось благодаря полученной по итогам торгов экономии. Отремонтированы участки улицы Партизанской, дороги по Локомотивной и Деповской, улицы Кирова в Авангарде и Калинина </w:t>
      </w:r>
      <w:proofErr w:type="spellStart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Углекаменске</w:t>
      </w:r>
      <w:proofErr w:type="spellEnd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проезд от кинотеатра «Радуга» до автостанции, мосты через реку </w:t>
      </w:r>
      <w:proofErr w:type="spellStart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Постышевку</w:t>
      </w:r>
      <w:proofErr w:type="spellEnd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на улице Фабричной.</w:t>
      </w: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По программе обеспечения жильем детей-сирот и детей, оставшихся без попечения родителей, приобретено в муниципальную собственность и переданы получателям 20 квартир.</w:t>
      </w: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По «шахтовой» программе заключено 46 договоров на предоставление социальной выплаты для приобретения жилья, взамен сносимого ветхого, со 106 гражданами.</w:t>
      </w: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Была продолжена реконструкция защитной дамбы по левому берегу реки </w:t>
      </w:r>
      <w:proofErr w:type="spellStart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Постышевка</w:t>
      </w:r>
      <w:proofErr w:type="spellEnd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. На территории сел округа созданы и работают добровольные пожарные дружины, в их составе — 46 человек. В селе </w:t>
      </w:r>
      <w:proofErr w:type="spellStart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Бровничи</w:t>
      </w:r>
      <w:proofErr w:type="spellEnd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установлен пожарный модуль, а министерством ГОЧС Приморского края выделен автомобиль на базе ЗИЛ-131 для защиты от ландшафтных или лесных пожаров сел </w:t>
      </w:r>
      <w:proofErr w:type="spellStart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Бровничи</w:t>
      </w:r>
      <w:proofErr w:type="spellEnd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</w:t>
      </w:r>
      <w:proofErr w:type="gramStart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Серебряное</w:t>
      </w:r>
      <w:proofErr w:type="gramEnd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Хмельницкое, Фридман, Тигровой.</w:t>
      </w: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Численность населения на 1 января 2024 года составила более 39 тысяч человек, естественная убыль – 377, миграционный прирост — 38 жителей.</w:t>
      </w: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— Планов и задач еще немало, и воплотить в жизнь их можно только совместными усилиями, с депутатами Думы и Законодательного Собрания, с жителями, продолжить и завершить все </w:t>
      </w: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начатые проекты, — подытожил свое выступление Олег Анатольевич.</w:t>
      </w: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В итоге результаты деятельности главы и администрации признаны депутатским корпусом удовлетворительными. Полный текст отчета размещен на официальном сайте муниципалитета.</w:t>
      </w: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Далее с отчетом об исполнении местного бюджета в 2023 году на заседании выступил первый заместитель главы округа Сергей Юдин. Так, первоначальные показатели были утверждены по доходам и расходам по 1,67 миллиарда рублей. В связи с распределением дополнительных объемов и межбюджетных трансфертов из вышестоящих бюджетов и необходимостью проведения первоочередных расходов в течение года изменения вносились пять раз, и плановые показатели превысили два миллиарда рублей. Отметим, что по уровню открытости бюджетных данных, мониторинга и оценки качества управления бюджетным процессом </w:t>
      </w:r>
      <w:proofErr w:type="spellStart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Партизанску</w:t>
      </w:r>
      <w:proofErr w:type="spellEnd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присвоены первые степени.</w:t>
      </w: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Также на заседании 23 мая были внесены изменения в прогнозный план приватизации муниципального имущества, положение об обеспечении населения округа твердым топливом – дровами, в Устав округа – относительно количества депутатов, присутствия которых на заседании необходимо для кворума. Этот показатель теперь составляет не менее пятидесяти процентов от установленной численности народных избранников в Думе ПГО. Также депутаты выбрали заместителя председателя Думы, им стала Елена </w:t>
      </w:r>
      <w:proofErr w:type="spellStart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Котикова</w:t>
      </w:r>
      <w:proofErr w:type="spellEnd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Важно отметить, что были приняты меры поддержки около пятидесяти бывших работников обанкротившегося в 2019 году МУП «Городское хозяйство», которым еще не погашена задолженность по заработной плате и выходному пособию. Соответствующий документ согласован с прокуратурой </w:t>
      </w:r>
      <w:proofErr w:type="spellStart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Партизанска</w:t>
      </w:r>
      <w:proofErr w:type="spellEnd"/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правовым департаментом правительства Приморья, выплатить все необходимые суммы планируется до конца нынешнего года.</w:t>
      </w:r>
    </w:p>
    <w:p w:rsidR="004C7433" w:rsidRDefault="004C7433" w:rsidP="004C7433">
      <w:pPr>
        <w:shd w:val="clear" w:color="auto" w:fill="FFFFFF"/>
        <w:spacing w:after="63" w:line="384" w:lineRule="atLeast"/>
        <w:jc w:val="right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  <w:r w:rsidRPr="004C7433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Анна СЕРГИЕНКО</w:t>
      </w:r>
    </w:p>
    <w:p w:rsidR="004C7433" w:rsidRDefault="004C7433" w:rsidP="004C7433">
      <w:pPr>
        <w:shd w:val="clear" w:color="auto" w:fill="FFFFFF"/>
        <w:spacing w:after="63" w:line="384" w:lineRule="atLeast"/>
        <w:jc w:val="right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4C7433" w:rsidRPr="004C7433" w:rsidRDefault="004C7433" w:rsidP="004C7433">
      <w:pPr>
        <w:shd w:val="clear" w:color="auto" w:fill="FFFFFF"/>
        <w:spacing w:after="63" w:line="384" w:lineRule="atLeast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4C743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https://partizansk-vesti.ru/duma/osnovnye-zadachi-vypolneny/</w:t>
      </w:r>
    </w:p>
    <w:p w:rsidR="00095670" w:rsidRDefault="00095670"/>
    <w:sectPr w:rsidR="00095670" w:rsidSect="00095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C7433"/>
    <w:rsid w:val="00095670"/>
    <w:rsid w:val="004C7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670"/>
  </w:style>
  <w:style w:type="paragraph" w:styleId="2">
    <w:name w:val="heading 2"/>
    <w:basedOn w:val="a"/>
    <w:link w:val="20"/>
    <w:uiPriority w:val="9"/>
    <w:qFormat/>
    <w:rsid w:val="004C74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74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C743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C7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C743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C7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74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95660">
                  <w:marLeft w:val="3640"/>
                  <w:marRight w:val="364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55254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partizansk-vesti.ru/wp-content/uploads/2024/06/DSC06927.jpg" TargetMode="External"/><Relationship Id="rId4" Type="http://schemas.openxmlformats.org/officeDocument/2006/relationships/hyperlink" Target="https://partizansk-vesti.ru/duma/osnovnye-zadachi-vypolnen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1457</Words>
  <Characters>8310</Characters>
  <Application>Microsoft Office Word</Application>
  <DocSecurity>0</DocSecurity>
  <Lines>69</Lines>
  <Paragraphs>19</Paragraphs>
  <ScaleCrop>false</ScaleCrop>
  <Company/>
  <LinksUpToDate>false</LinksUpToDate>
  <CharactersWithSpaces>9748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2024-06-06T23:09:00Z</dcterms:created>
  <dcterms:modified xsi:type="dcterms:W3CDTF">2024-06-06T23:10:00Z</dcterms:modified>
</cp:coreProperties>
</file>